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28" w:rsidRDefault="00F75FDB">
      <w:pPr>
        <w:rPr>
          <w:sz w:val="4"/>
        </w:rPr>
      </w:pPr>
      <w:bookmarkStart w:id="0" w:name="_GoBack"/>
      <w:bookmarkEnd w:id="0"/>
      <w:r>
        <w:rPr>
          <w:noProof/>
          <w:sz w:val="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-588644</wp:posOffset>
            </wp:positionH>
            <wp:positionV relativeFrom="paragraph">
              <wp:posOffset>-360679</wp:posOffset>
            </wp:positionV>
            <wp:extent cx="6628130" cy="1564005"/>
            <wp:effectExtent l="0" t="0" r="0" b="0"/>
            <wp:wrapNone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xmlns:w="http://schemas.openxmlformats.org/wordprocessingml/2006/main" xmlns:w10="urn:schemas-microsoft-com:office:word" xmlns:v="urn:schemas-microsoft-com:vml" xmlns:o="urn:schemas-microsoft-com:office:office" xmlns="" r:embed="rId13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</w:p>
    <w:p w:rsidR="000E6128" w:rsidRDefault="000E61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6128" w:rsidRDefault="000E61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6128" w:rsidRDefault="00F75FDB">
      <w:pPr>
        <w:pStyle w:val="af5"/>
        <w:ind w:left="1843"/>
        <w:jc w:val="center"/>
        <w:rPr>
          <w:rFonts w:ascii="Times New Roman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355003, г. Ставрополь, ул. Ленина, д. 293,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тел.: 35-58-10 (доп. 2116)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http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://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www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press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@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stavinvest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</w:p>
    <w:p w:rsidR="000E6128" w:rsidRDefault="000E612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E6128" w:rsidRDefault="000E6128">
      <w:pPr>
        <w:spacing w:after="0" w:line="240" w:lineRule="auto"/>
        <w:jc w:val="both"/>
      </w:pPr>
    </w:p>
    <w:p w:rsidR="000E6128" w:rsidRDefault="00F75FD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Свыше 6 млрд рублей кредитов сможет получить</w:t>
      </w:r>
    </w:p>
    <w:p w:rsidR="000E6128" w:rsidRDefault="00F75FDB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малый бизнес Северного Кавказа в 2025 году </w:t>
      </w:r>
    </w:p>
    <w:p w:rsidR="000E6128" w:rsidRDefault="00F75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128" w:rsidRDefault="00F75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Малый и ср</w:t>
      </w:r>
      <w:r>
        <w:rPr>
          <w:rFonts w:ascii="Times New Roman" w:hAnsi="Times New Roman" w:cs="Times New Roman"/>
          <w:sz w:val="28"/>
          <w:szCs w:val="28"/>
        </w:rPr>
        <w:t xml:space="preserve">едний бизнес Северо-Кавказского федерального округа может получить кредиты на сумму не менее 6 млрд. рублей по специальному лимиту зонтичных поручительств Корпорации МСП. Спецлимиты поручительств на сумму 3 млрд. рублей уже доведены до Сбербанка, </w:t>
      </w:r>
      <w:r>
        <w:rPr>
          <w:rFonts w:ascii="Times New Roman" w:hAnsi="Times New Roman" w:cs="Times New Roman"/>
          <w:sz w:val="28"/>
          <w:szCs w:val="28"/>
        </w:rPr>
        <w:br/>
        <w:t>Альфа-Ба</w:t>
      </w:r>
      <w:r>
        <w:rPr>
          <w:rFonts w:ascii="Times New Roman" w:hAnsi="Times New Roman" w:cs="Times New Roman"/>
          <w:sz w:val="28"/>
          <w:szCs w:val="28"/>
        </w:rPr>
        <w:t xml:space="preserve">нка и МСП Банка. Об этом сообщил министр экономического развития Российской Федерации Максим Геннадьевич Решетников в ходе рабочего визита в СКФО и Республику Южная Осетия.  </w:t>
      </w:r>
    </w:p>
    <w:p w:rsidR="000E6128" w:rsidRDefault="00F75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«Северный Кавказ активно развивается, и одним из драйверов этого развития являетс</w:t>
      </w:r>
      <w:r>
        <w:rPr>
          <w:rFonts w:ascii="Times New Roman" w:hAnsi="Times New Roman" w:cs="Times New Roman"/>
          <w:sz w:val="28"/>
          <w:szCs w:val="28"/>
        </w:rPr>
        <w:t>я малый и средний бизнес. Дополнительная поддержка обеспечит предприятиям возможности для реализации новых проектов. Спецлимит зонтичных поручительств стимулирует банки к активной поддержке бизнеса в регионе и тем самым дополнительно наращивает интенсивнос</w:t>
      </w:r>
      <w:r>
        <w:rPr>
          <w:rFonts w:ascii="Times New Roman" w:hAnsi="Times New Roman" w:cs="Times New Roman"/>
          <w:sz w:val="28"/>
          <w:szCs w:val="28"/>
        </w:rPr>
        <w:t>ть деловой среды. Уже выделены почти 21 млрд. рублей региональных спецлимитов, которые позволят бизнесу в СКФО, Дальневосточном федеральном округе, Крыму, Севастополе, а также в приграничных и новых регионах привлечь более 42 млрд. рублей», – заявил Максим</w:t>
      </w:r>
      <w:r>
        <w:rPr>
          <w:rFonts w:ascii="Times New Roman" w:hAnsi="Times New Roman" w:cs="Times New Roman"/>
          <w:sz w:val="28"/>
          <w:szCs w:val="28"/>
        </w:rPr>
        <w:t xml:space="preserve"> Геннадьевич Решетников. </w:t>
      </w:r>
    </w:p>
    <w:p w:rsidR="000E6128" w:rsidRDefault="00F75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В настоящее время действует пять, включая СКФО, специальных лимитов «зонтичных» поручительств для регионов Российской Федерации: для бизнеса приграничных территорий (лимит 3 млрд. рублей позволяет получить кредитов на сумму не мен</w:t>
      </w:r>
      <w:r>
        <w:rPr>
          <w:rFonts w:ascii="Times New Roman" w:hAnsi="Times New Roman" w:cs="Times New Roman"/>
          <w:sz w:val="28"/>
          <w:szCs w:val="28"/>
        </w:rPr>
        <w:t>ее 6 млрд. рублей), новых регионов (лимит 4,25 млрд. рублей для кредитов на сумму не менее 8,5 млрд. рублей), Крыма и Севастополя (лимит 3 млрд. рублей для кредитов на сумму не менее 6 млрд. рублей), Дальневосточного федерального округа (лимит 7,7 млрд. ру</w:t>
      </w:r>
      <w:r>
        <w:rPr>
          <w:rFonts w:ascii="Times New Roman" w:hAnsi="Times New Roman" w:cs="Times New Roman"/>
          <w:sz w:val="28"/>
          <w:szCs w:val="28"/>
        </w:rPr>
        <w:t xml:space="preserve">блей для кредитов на сумму не менее 15 млрд. рублей). </w:t>
      </w:r>
    </w:p>
    <w:p w:rsidR="000E6128" w:rsidRDefault="00F75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«Адресная поддержка по специальным лимитам «зонтичных» поручительств хорошо себя зарекомендовала в СКФО. Спецлимиты для СКФО были запущены летом 2024 года. Почти за полгода предпринимателям было предос</w:t>
      </w:r>
      <w:r>
        <w:rPr>
          <w:rFonts w:ascii="Times New Roman" w:hAnsi="Times New Roman" w:cs="Times New Roman"/>
          <w:sz w:val="28"/>
          <w:szCs w:val="28"/>
        </w:rPr>
        <w:t>тавлено 7,5 млрд. рублей кредитных средств. Поэтому было принято решение о продолжении программы, которая, как и в прошлом году, позволит получить льготное заемное финансирование компаниям без ограничений по отраслям», – заявил генеральный директор Корпора</w:t>
      </w:r>
      <w:r>
        <w:rPr>
          <w:rFonts w:ascii="Times New Roman" w:hAnsi="Times New Roman" w:cs="Times New Roman"/>
          <w:sz w:val="28"/>
          <w:szCs w:val="28"/>
        </w:rPr>
        <w:t xml:space="preserve">ции МСП Александр Игоревич Исаевич. </w:t>
      </w:r>
    </w:p>
    <w:p w:rsidR="000E6128" w:rsidRDefault="00F75FDB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Зонтичный механизм предполагает предоставление банкам – партнерам Корпорации МСП лимитов поручительств, в рамках которых финансовые организации выдают кредиты предпринимателям. Такие поручи</w:t>
      </w:r>
      <w:r>
        <w:rPr>
          <w:rFonts w:ascii="Times New Roman" w:hAnsi="Times New Roman" w:cs="Times New Roman"/>
          <w:sz w:val="28"/>
          <w:szCs w:val="28"/>
        </w:rPr>
        <w:t>тельства Корпорации МСП покрывают до 50% суммы банковского кредита. Сумма одного поручительства может достигать 1 млрд. рублей при сроке до 10 лет. Механизм гарантирует банку исполнение обязательств по такому кредиту, тем самым снижая резервы и высвобождая</w:t>
      </w:r>
      <w:r>
        <w:rPr>
          <w:rFonts w:ascii="Times New Roman" w:hAnsi="Times New Roman" w:cs="Times New Roman"/>
          <w:sz w:val="28"/>
          <w:szCs w:val="28"/>
        </w:rPr>
        <w:t xml:space="preserve"> ликвидность для дополнительного кредитования бизнеса. </w:t>
      </w:r>
    </w:p>
    <w:p w:rsidR="000E6128" w:rsidRDefault="00F75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Зонтичный механизм поручительств запущен в 2021 году по поручению Президента Российской Федерации Путина В.В. в рамках реализации нацпроекта «Эффективная и конкурентная экономика».</w:t>
      </w:r>
    </w:p>
    <w:p w:rsidR="000E6128" w:rsidRDefault="000E61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E6128">
      <w:headerReference w:type="default" r:id="rId14"/>
      <w:pgSz w:w="11906" w:h="16838"/>
      <w:pgMar w:top="1984" w:right="567" w:bottom="1134" w:left="1984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FDB" w:rsidRDefault="00F75FDB">
      <w:pPr>
        <w:spacing w:after="0" w:line="240" w:lineRule="auto"/>
      </w:pPr>
      <w:r>
        <w:separator/>
      </w:r>
    </w:p>
  </w:endnote>
  <w:endnote w:type="continuationSeparator" w:id="0">
    <w:p w:rsidR="00F75FDB" w:rsidRDefault="00F7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FDB" w:rsidRDefault="00F75FDB">
      <w:pPr>
        <w:spacing w:after="0" w:line="240" w:lineRule="auto"/>
      </w:pPr>
      <w:r>
        <w:separator/>
      </w:r>
    </w:p>
  </w:footnote>
  <w:footnote w:type="continuationSeparator" w:id="0">
    <w:p w:rsidR="00F75FDB" w:rsidRDefault="00F7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28" w:rsidRDefault="00F75FDB">
    <w:pPr>
      <w:pStyle w:val="10"/>
      <w:pBdr>
        <w:top w:val="none" w:sz="4" w:space="28" w:color="000000"/>
      </w:pBdr>
      <w:jc w:val="right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>
      <w:rPr>
        <w:rFonts w:ascii="Times New Roman" w:eastAsia="Times New Roman" w:hAnsi="Times New Roman" w:cs="Times New Roman"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5AC"/>
    <w:multiLevelType w:val="hybridMultilevel"/>
    <w:tmpl w:val="9C9CA3A4"/>
    <w:lvl w:ilvl="0" w:tplc="4634869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B3F2D1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326EF92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52D2915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6B143ED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36082D5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EC2028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82B0117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DAC699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1" w15:restartNumberingAfterBreak="0">
    <w:nsid w:val="18CB523F"/>
    <w:multiLevelType w:val="hybridMultilevel"/>
    <w:tmpl w:val="2766BBAE"/>
    <w:lvl w:ilvl="0" w:tplc="725CA4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80E5AE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EAC534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F3B4CA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B1A53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D406CD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EBE450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7066F1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D0407D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BF252E9"/>
    <w:multiLevelType w:val="hybridMultilevel"/>
    <w:tmpl w:val="0F92C3B8"/>
    <w:lvl w:ilvl="0" w:tplc="ECB8DF1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CCE77C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8763DB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71A676D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C694C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69C6E7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61569C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94C58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E6CA619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2D095BA7"/>
    <w:multiLevelType w:val="hybridMultilevel"/>
    <w:tmpl w:val="C318FB4A"/>
    <w:lvl w:ilvl="0" w:tplc="DBC6CCA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4F1099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A5DC5D5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7AE6E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14E73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B042560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93CE5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5E488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36AED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3C0420F1"/>
    <w:multiLevelType w:val="hybridMultilevel"/>
    <w:tmpl w:val="CBB43968"/>
    <w:lvl w:ilvl="0" w:tplc="D5606E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98E9B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A4032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E4A83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55454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63AA0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50C3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B41B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C100A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D9300FF"/>
    <w:multiLevelType w:val="hybridMultilevel"/>
    <w:tmpl w:val="B24A7836"/>
    <w:lvl w:ilvl="0" w:tplc="0E7035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9AC3D5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A369BC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5D427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69EC84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975AC79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44A49CE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E285F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FBC8B2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418A2000"/>
    <w:multiLevelType w:val="hybridMultilevel"/>
    <w:tmpl w:val="89CA7734"/>
    <w:lvl w:ilvl="0" w:tplc="624097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5944ECC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325C62C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BE926B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034AA1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B69885B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51DCB9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43DA828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B2304D1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abstractNum w:abstractNumId="7" w15:restartNumberingAfterBreak="0">
    <w:nsid w:val="5FCA0396"/>
    <w:multiLevelType w:val="hybridMultilevel"/>
    <w:tmpl w:val="6F906582"/>
    <w:lvl w:ilvl="0" w:tplc="8320C9D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7"/>
      </w:rPr>
    </w:lvl>
    <w:lvl w:ilvl="1" w:tplc="CBC8460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7"/>
      </w:rPr>
    </w:lvl>
    <w:lvl w:ilvl="2" w:tplc="3936599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7"/>
      </w:rPr>
    </w:lvl>
    <w:lvl w:ilvl="3" w:tplc="00A61F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7"/>
      </w:rPr>
    </w:lvl>
    <w:lvl w:ilvl="4" w:tplc="F0CC6DE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7"/>
      </w:rPr>
    </w:lvl>
    <w:lvl w:ilvl="5" w:tplc="A60485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7"/>
      </w:rPr>
    </w:lvl>
    <w:lvl w:ilvl="6" w:tplc="97066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7"/>
      </w:rPr>
    </w:lvl>
    <w:lvl w:ilvl="7" w:tplc="2B32640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7"/>
      </w:rPr>
    </w:lvl>
    <w:lvl w:ilvl="8" w:tplc="62688EA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7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28"/>
    <w:rsid w:val="000E6128"/>
    <w:rsid w:val="00405937"/>
    <w:rsid w:val="00F7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304AE-9405-4751-88A7-2802B449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link w:val="1"/>
    <w:uiPriority w:val="99"/>
    <w:qFormat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styleId="a8">
    <w:name w:val="Title"/>
    <w:basedOn w:val="a"/>
    <w:next w:val="a9"/>
    <w:uiPriority w:val="10"/>
    <w:qFormat/>
    <w:pPr>
      <w:spacing w:before="3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customStyle="1" w:styleId="1">
    <w:name w:val="Название объекта1"/>
    <w:basedOn w:val="a"/>
    <w:link w:val="CaptionChar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8"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Колонтитул"/>
    <w:basedOn w:val="a"/>
    <w:qFormat/>
  </w:style>
  <w:style w:type="paragraph" w:customStyle="1" w:styleId="10">
    <w:name w:val="Верх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1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2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3">
    <w:name w:val="toc 1"/>
    <w:basedOn w:val="a"/>
    <w:uiPriority w:val="39"/>
    <w:unhideWhenUsed/>
    <w:pPr>
      <w:spacing w:after="57"/>
    </w:pPr>
  </w:style>
  <w:style w:type="paragraph" w:styleId="20">
    <w:name w:val="toc 2"/>
    <w:basedOn w:val="a"/>
    <w:uiPriority w:val="39"/>
    <w:unhideWhenUsed/>
    <w:pPr>
      <w:spacing w:after="57"/>
      <w:ind w:left="283"/>
    </w:pPr>
  </w:style>
  <w:style w:type="paragraph" w:styleId="3">
    <w:name w:val="toc 3"/>
    <w:basedOn w:val="a"/>
    <w:uiPriority w:val="39"/>
    <w:unhideWhenUsed/>
    <w:pPr>
      <w:spacing w:after="57"/>
      <w:ind w:left="567"/>
    </w:pPr>
  </w:style>
  <w:style w:type="paragraph" w:styleId="4">
    <w:name w:val="toc 4"/>
    <w:basedOn w:val="a"/>
    <w:uiPriority w:val="39"/>
    <w:unhideWhenUsed/>
    <w:pPr>
      <w:spacing w:after="57"/>
      <w:ind w:left="850"/>
    </w:pPr>
  </w:style>
  <w:style w:type="paragraph" w:styleId="5">
    <w:name w:val="toc 5"/>
    <w:basedOn w:val="a"/>
    <w:uiPriority w:val="39"/>
    <w:unhideWhenUsed/>
    <w:pPr>
      <w:spacing w:after="57"/>
      <w:ind w:left="1134"/>
    </w:pPr>
  </w:style>
  <w:style w:type="paragraph" w:styleId="6">
    <w:name w:val="toc 6"/>
    <w:basedOn w:val="a"/>
    <w:uiPriority w:val="39"/>
    <w:unhideWhenUsed/>
    <w:pPr>
      <w:spacing w:after="57"/>
      <w:ind w:left="1417"/>
    </w:pPr>
  </w:style>
  <w:style w:type="paragraph" w:styleId="7">
    <w:name w:val="toc 7"/>
    <w:basedOn w:val="a"/>
    <w:uiPriority w:val="39"/>
    <w:unhideWhenUsed/>
    <w:pPr>
      <w:spacing w:after="57"/>
      <w:ind w:left="1701"/>
    </w:pPr>
  </w:style>
  <w:style w:type="paragraph" w:styleId="8">
    <w:name w:val="toc 8"/>
    <w:basedOn w:val="a"/>
    <w:uiPriority w:val="39"/>
    <w:unhideWhenUsed/>
    <w:pPr>
      <w:spacing w:after="57"/>
      <w:ind w:left="1984"/>
    </w:pPr>
  </w:style>
  <w:style w:type="paragraph" w:styleId="9">
    <w:name w:val="toc 9"/>
    <w:basedOn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  <w:qFormat/>
    <w:pPr>
      <w:spacing w:after="200" w:line="276" w:lineRule="auto"/>
    </w:pPr>
  </w:style>
  <w:style w:type="paragraph" w:styleId="af4">
    <w:name w:val="table of figures"/>
    <w:basedOn w:val="a"/>
    <w:uiPriority w:val="99"/>
    <w:unhideWhenUsed/>
    <w:pPr>
      <w:spacing w:after="0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0">
    <w:name w:val="Таблица простая 2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FontStyle13">
    <w:name w:val="Font Style13"/>
    <w:rPr>
      <w:rFonts w:ascii="Times New Roman" w:hAnsi="Times New Roman" w:cs="Times New Roman"/>
      <w:spacing w:val="10"/>
      <w:sz w:val="24"/>
      <w:szCs w:val="24"/>
    </w:rPr>
  </w:style>
  <w:style w:type="paragraph" w:customStyle="1" w:styleId="element-show">
    <w:name w:val="element-show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media1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dc:description/>
  <cp:lastModifiedBy>Пряхин</cp:lastModifiedBy>
  <cp:revision>2</cp:revision>
  <dcterms:created xsi:type="dcterms:W3CDTF">2025-03-25T04:46:00Z</dcterms:created>
  <dcterms:modified xsi:type="dcterms:W3CDTF">2025-03-25T04:46:00Z</dcterms:modified>
  <dc:language>ru-RU</dc:language>
</cp:coreProperties>
</file>