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40" w:rsidRDefault="00DD57E3">
      <w:pPr>
        <w:rPr>
          <w:sz w:val="4"/>
        </w:rPr>
      </w:pPr>
      <w:bookmarkStart w:id="0" w:name="_GoBack"/>
      <w:bookmarkEnd w:id="0"/>
      <w:r>
        <w:rPr>
          <w:noProof/>
          <w:sz w:val="4"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-588645</wp:posOffset>
            </wp:positionH>
            <wp:positionV relativeFrom="paragraph">
              <wp:posOffset>-360680</wp:posOffset>
            </wp:positionV>
            <wp:extent cx="6628130" cy="1564005"/>
            <wp:effectExtent l="0" t="0" r="0" b="0"/>
            <wp:wrapNone/>
            <wp:docPr id="1" name="_x005F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i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3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0340" w:rsidRDefault="00670340">
      <w:pPr>
        <w:spacing w:line="255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0340" w:rsidRDefault="00670340">
      <w:pPr>
        <w:spacing w:line="255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70340" w:rsidRDefault="00DD57E3">
      <w:pPr>
        <w:pStyle w:val="af7"/>
        <w:ind w:left="1843"/>
        <w:jc w:val="center"/>
        <w:rPr>
          <w:rFonts w:ascii="Times New Roman" w:hAnsi="Times New Roman" w:cs="Times New Roman"/>
          <w:color w:val="0000FF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355003, г. Ставрополь, ул. Ленина, д. 293,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тел.: 35-58-10 (доп. 2116)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http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://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www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stavinvest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press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@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stavinvest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ru</w:t>
      </w:r>
    </w:p>
    <w:p w:rsidR="00670340" w:rsidRDefault="00670340">
      <w:pPr>
        <w:spacing w:after="0" w:line="28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0340" w:rsidRDefault="00670340">
      <w:pPr>
        <w:pStyle w:val="11"/>
        <w:shd w:val="clear" w:color="FFFFFF" w:fill="FFFFFF"/>
        <w:spacing w:before="0" w:after="0" w:line="255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70340" w:rsidRDefault="00670340">
      <w:pPr>
        <w:spacing w:after="0" w:line="28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0340" w:rsidRDefault="00DD57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Ставрополье стало лидером СКФО </w:t>
      </w:r>
    </w:p>
    <w:p w:rsidR="00670340" w:rsidRDefault="00DD57E3">
      <w:pPr>
        <w:spacing w:after="0" w:line="240" w:lineRule="auto"/>
        <w:ind w:firstLine="708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объему привлечения средств на развитие бизнеса</w:t>
      </w:r>
    </w:p>
    <w:p w:rsidR="00670340" w:rsidRDefault="00670340">
      <w:pPr>
        <w:spacing w:after="0" w:line="240" w:lineRule="auto"/>
        <w:ind w:firstLine="708"/>
        <w:jc w:val="both"/>
      </w:pPr>
    </w:p>
    <w:p w:rsidR="00670340" w:rsidRDefault="00DD57E3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Ставрополье стало лидером среди регионов </w:t>
      </w:r>
      <w:r>
        <w:rPr>
          <w:rFonts w:ascii="Times New Roman" w:eastAsia="Times New Roman" w:hAnsi="Times New Roman" w:cs="Times New Roman"/>
          <w:sz w:val="28"/>
          <w:szCs w:val="28"/>
        </w:rPr>
        <w:t>СКФО по объему привлеченного льготного финансирования от государственного МСП Банка, дочерней организации Корпорации МСП. За 2024 год предприниматели региона получили 3,3 млрд. рублей на развитие бизнеса.</w:t>
      </w:r>
    </w:p>
    <w:p w:rsidR="00670340" w:rsidRDefault="00DD57E3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 втором месте Дагестан (3,2 млрд. рублей), на тре</w:t>
      </w:r>
      <w:r>
        <w:rPr>
          <w:rFonts w:ascii="Times New Roman" w:eastAsia="Times New Roman" w:hAnsi="Times New Roman" w:cs="Times New Roman"/>
          <w:sz w:val="28"/>
          <w:szCs w:val="28"/>
        </w:rPr>
        <w:t>тьем – Кабардино-Балкарская Республика (около 2,2 млрд. рублей).</w:t>
      </w:r>
    </w:p>
    <w:p w:rsidR="00670340" w:rsidRDefault="00DD57E3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 логике нового национального проекта «Эффективная и конкурентная экономика» меры поддержки бизнеса должны быть трансформированы в инструменты развития. МСП Банк участвует в реализации всех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льготных программ кредитования малого и среднего предпринимательства, при этом особое внимание в этом году будет уделяться бизнесу, чей вклад в развитие экономики региона станет наиболее ощутим», – пояснил генеральный директор Корпорации МСП, </w:t>
      </w:r>
      <w:r>
        <w:rPr>
          <w:rFonts w:ascii="Times New Roman" w:eastAsia="Times New Roman" w:hAnsi="Times New Roman" w:cs="Times New Roman"/>
          <w:sz w:val="28"/>
          <w:szCs w:val="28"/>
        </w:rPr>
        <w:t>принадлежащей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Министерству экономического развития Российской Федерации, Александр Исаевич.</w:t>
      </w:r>
    </w:p>
    <w:p w:rsidR="00670340" w:rsidRDefault="00DD5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«Предпринимательство – драйвер развития экономики Ставрополья.                                У нас в регионе около 300 тысяч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субъектов МСП. Развиваться бизнесу в первую очередь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помогают финансовые меры господдержки. Льготные займы от нашего Фонда микрофинансирования – самая популярная услуга нашей инфраструктуры поддержки. Также предприниматели активно пользуются федеральной поддержкой Корпорации МСП. Все это говорит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жители Ставрополья все больше предпочитают заниматься собственным делом, потому что видят, что в регионе для этого комфортные условия», – прокомментировал первый заместитель министра экономического развития Ставропольского края Евгений Полькин.</w:t>
      </w:r>
    </w:p>
    <w:p w:rsidR="00670340" w:rsidRDefault="00670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70340" w:rsidRDefault="00670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0340">
      <w:headerReference w:type="default" r:id="rId7"/>
      <w:pgSz w:w="11906" w:h="16838"/>
      <w:pgMar w:top="1984" w:right="567" w:bottom="1134" w:left="198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7E3" w:rsidRDefault="00DD57E3">
      <w:pPr>
        <w:spacing w:after="0" w:line="240" w:lineRule="auto"/>
      </w:pPr>
      <w:r>
        <w:separator/>
      </w:r>
    </w:p>
  </w:endnote>
  <w:endnote w:type="continuationSeparator" w:id="0">
    <w:p w:rsidR="00DD57E3" w:rsidRDefault="00DD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7E3" w:rsidRDefault="00DD57E3">
      <w:pPr>
        <w:spacing w:after="0" w:line="240" w:lineRule="auto"/>
      </w:pPr>
      <w:r>
        <w:separator/>
      </w:r>
    </w:p>
  </w:footnote>
  <w:footnote w:type="continuationSeparator" w:id="0">
    <w:p w:rsidR="00DD57E3" w:rsidRDefault="00DD5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40" w:rsidRDefault="00DD57E3">
    <w:pPr>
      <w:pStyle w:val="1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eastAsia="Times New Roman" w:hAnsi="Times New Roman" w:cs="Times New Roman"/>
        <w:sz w:val="28"/>
        <w:szCs w:val="28"/>
      </w:rPr>
      <w:fldChar w:fldCharType="separate"/>
    </w:r>
    <w:r>
      <w:rPr>
        <w:rFonts w:ascii="Times New Roman" w:eastAsia="Times New Roman" w:hAnsi="Times New Roman" w:cs="Times New Roman"/>
        <w:sz w:val="28"/>
        <w:szCs w:val="28"/>
      </w:rPr>
      <w:t>0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40"/>
    <w:rsid w:val="00670340"/>
    <w:rsid w:val="00AD4643"/>
    <w:rsid w:val="00D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B68DB71-FA1F-4B76-96E7-229E7AD0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link w:val="1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FontStyle13">
    <w:name w:val="Font Style13"/>
    <w:qFormat/>
    <w:rPr>
      <w:rFonts w:ascii="Times New Roman" w:hAnsi="Times New Roman" w:cs="Times New Roman"/>
      <w:spacing w:val="1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paragraph" w:styleId="aa">
    <w:name w:val="Title"/>
    <w:basedOn w:val="a"/>
    <w:next w:val="ab"/>
    <w:uiPriority w:val="10"/>
    <w:qFormat/>
    <w:pPr>
      <w:spacing w:before="300"/>
      <w:contextualSpacing/>
    </w:pPr>
    <w:rPr>
      <w:sz w:val="48"/>
      <w:szCs w:val="4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ohit Devanagari"/>
    </w:rPr>
  </w:style>
  <w:style w:type="paragraph" w:customStyle="1" w:styleId="1">
    <w:name w:val="Название объекта1"/>
    <w:basedOn w:val="a"/>
    <w:link w:val="CaptionChar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a"/>
  </w:style>
  <w:style w:type="paragraph" w:customStyle="1" w:styleId="indexheading1">
    <w:name w:val="index heading1"/>
    <w:basedOn w:val="aa"/>
    <w:qFormat/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styleId="af">
    <w:name w:val="No Spacing"/>
    <w:uiPriority w:val="1"/>
    <w:qFormat/>
  </w:style>
  <w:style w:type="paragraph" w:styleId="af0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">
    <w:name w:val="Quote"/>
    <w:basedOn w:val="a"/>
    <w:uiPriority w:val="29"/>
    <w:qFormat/>
    <w:pPr>
      <w:ind w:left="720" w:right="720"/>
    </w:pPr>
    <w:rPr>
      <w:i/>
    </w:rPr>
  </w:style>
  <w:style w:type="paragraph" w:styleId="af1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2">
    <w:name w:val="Колонтитул"/>
    <w:basedOn w:val="a"/>
    <w:qFormat/>
  </w:style>
  <w:style w:type="paragraph" w:customStyle="1" w:styleId="10">
    <w:name w:val="Верхний колонтитул1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4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3">
    <w:name w:val="toc 1"/>
    <w:basedOn w:val="a"/>
    <w:uiPriority w:val="39"/>
    <w:unhideWhenUsed/>
    <w:pPr>
      <w:spacing w:after="57"/>
    </w:pPr>
  </w:style>
  <w:style w:type="paragraph" w:styleId="20">
    <w:name w:val="toc 2"/>
    <w:basedOn w:val="a"/>
    <w:uiPriority w:val="39"/>
    <w:unhideWhenUsed/>
    <w:pPr>
      <w:spacing w:after="57"/>
      <w:ind w:left="283"/>
    </w:pPr>
  </w:style>
  <w:style w:type="paragraph" w:styleId="3">
    <w:name w:val="toc 3"/>
    <w:basedOn w:val="a"/>
    <w:uiPriority w:val="39"/>
    <w:unhideWhenUsed/>
    <w:pPr>
      <w:spacing w:after="57"/>
      <w:ind w:left="567"/>
    </w:pPr>
  </w:style>
  <w:style w:type="paragraph" w:styleId="4">
    <w:name w:val="toc 4"/>
    <w:basedOn w:val="a"/>
    <w:uiPriority w:val="39"/>
    <w:unhideWhenUsed/>
    <w:pPr>
      <w:spacing w:after="57"/>
      <w:ind w:left="850"/>
    </w:pPr>
  </w:style>
  <w:style w:type="paragraph" w:styleId="5">
    <w:name w:val="toc 5"/>
    <w:basedOn w:val="a"/>
    <w:uiPriority w:val="39"/>
    <w:unhideWhenUsed/>
    <w:pPr>
      <w:spacing w:after="57"/>
      <w:ind w:left="1134"/>
    </w:pPr>
  </w:style>
  <w:style w:type="paragraph" w:styleId="6">
    <w:name w:val="toc 6"/>
    <w:basedOn w:val="a"/>
    <w:uiPriority w:val="39"/>
    <w:unhideWhenUsed/>
    <w:pPr>
      <w:spacing w:after="57"/>
      <w:ind w:left="1417"/>
    </w:pPr>
  </w:style>
  <w:style w:type="paragraph" w:styleId="7">
    <w:name w:val="toc 7"/>
    <w:basedOn w:val="a"/>
    <w:uiPriority w:val="39"/>
    <w:unhideWhenUsed/>
    <w:pPr>
      <w:spacing w:after="57"/>
      <w:ind w:left="1701"/>
    </w:pPr>
  </w:style>
  <w:style w:type="paragraph" w:styleId="8">
    <w:name w:val="toc 8"/>
    <w:basedOn w:val="a"/>
    <w:uiPriority w:val="39"/>
    <w:unhideWhenUsed/>
    <w:pPr>
      <w:spacing w:after="57"/>
      <w:ind w:left="1984"/>
    </w:pPr>
  </w:style>
  <w:style w:type="paragraph" w:styleId="9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pacing w:after="200" w:line="276" w:lineRule="auto"/>
    </w:pPr>
  </w:style>
  <w:style w:type="paragraph" w:styleId="af6">
    <w:name w:val="table of figures"/>
    <w:basedOn w:val="a"/>
    <w:uiPriority w:val="99"/>
    <w:unhideWhenUsed/>
    <w:pPr>
      <w:spacing w:after="0"/>
    </w:pPr>
  </w:style>
  <w:style w:type="paragraph" w:customStyle="1" w:styleId="af7">
    <w:name w:val="Содержимое врезки"/>
    <w:basedOn w:val="a"/>
    <w:qFormat/>
  </w:style>
  <w:style w:type="paragraph" w:customStyle="1" w:styleId="element-show">
    <w:name w:val="element-show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0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</dc:creator>
  <dc:description/>
  <cp:lastModifiedBy>Пряхин</cp:lastModifiedBy>
  <cp:revision>2</cp:revision>
  <cp:lastPrinted>2025-02-26T14:55:00Z</cp:lastPrinted>
  <dcterms:created xsi:type="dcterms:W3CDTF">2025-03-10T05:06:00Z</dcterms:created>
  <dcterms:modified xsi:type="dcterms:W3CDTF">2025-03-10T05:06:00Z</dcterms:modified>
  <dc:language>ru-RU</dc:language>
</cp:coreProperties>
</file>